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68A" w:rsidRPr="00DC368A" w:rsidRDefault="00DC368A" w:rsidP="00DC36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C368A">
        <w:rPr>
          <w:rFonts w:ascii="Times New Roman" w:eastAsia="Times New Roman" w:hAnsi="Times New Roman" w:cs="Times New Roman"/>
          <w:b/>
          <w:bCs/>
          <w:kern w:val="36"/>
          <w:sz w:val="48"/>
          <w:szCs w:val="48"/>
        </w:rPr>
        <w:t xml:space="preserve">Axial Flow Fans </w:t>
      </w:r>
      <w:proofErr w:type="spellStart"/>
      <w:r w:rsidRPr="00DC368A">
        <w:rPr>
          <w:rFonts w:ascii="Times New Roman" w:eastAsia="Times New Roman" w:hAnsi="Times New Roman" w:cs="Times New Roman"/>
          <w:b/>
          <w:bCs/>
          <w:kern w:val="36"/>
          <w:sz w:val="48"/>
          <w:szCs w:val="48"/>
        </w:rPr>
        <w:t>ZerAx</w:t>
      </w:r>
      <w:proofErr w:type="spellEnd"/>
      <w:r w:rsidRPr="00DC368A">
        <w:rPr>
          <w:rFonts w:ascii="Times New Roman" w:eastAsia="Times New Roman" w:hAnsi="Times New Roman" w:cs="Times New Roman"/>
          <w:b/>
          <w:bCs/>
          <w:kern w:val="36"/>
          <w:sz w:val="48"/>
          <w:szCs w:val="48"/>
        </w:rPr>
        <w:t xml:space="preserve"> AZN ATEX and AZW EX </w:t>
      </w:r>
    </w:p>
    <w:p w:rsidR="00DC368A" w:rsidRPr="00DC368A" w:rsidRDefault="00DC368A" w:rsidP="00DC368A">
      <w:p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 xml:space="preserve">The </w:t>
      </w:r>
      <w:proofErr w:type="spellStart"/>
      <w:r w:rsidRPr="00DC368A">
        <w:rPr>
          <w:rFonts w:ascii="Times New Roman" w:eastAsia="Times New Roman" w:hAnsi="Times New Roman" w:cs="Times New Roman"/>
          <w:sz w:val="24"/>
          <w:szCs w:val="24"/>
        </w:rPr>
        <w:t>ZerAx</w:t>
      </w:r>
      <w:proofErr w:type="spellEnd"/>
      <w:r w:rsidRPr="00DC368A">
        <w:rPr>
          <w:rFonts w:ascii="Times New Roman" w:eastAsia="Times New Roman" w:hAnsi="Times New Roman" w:cs="Times New Roman"/>
          <w:sz w:val="24"/>
          <w:szCs w:val="24"/>
        </w:rPr>
        <w:t xml:space="preserve"> AZN ATEX are unidirectional axial flow fans that comply with the ATEX directive 94/9/EU for equipment in explosive atmospheres and environments. The fans are suited for removal of hot smoke in connection with fires as well as transport of polluted air and of hazardous gases.</w:t>
      </w:r>
    </w:p>
    <w:p w:rsidR="00DC368A" w:rsidRPr="00DC368A" w:rsidRDefault="00DC368A" w:rsidP="00DC368A">
      <w:p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b/>
          <w:bCs/>
          <w:sz w:val="24"/>
          <w:szCs w:val="24"/>
        </w:rPr>
        <w:t>Product facts</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For duct installation</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Impeller diameters</w:t>
      </w:r>
      <w:r w:rsidRPr="00DC368A">
        <w:rPr>
          <w:rFonts w:ascii="Times New Roman" w:eastAsia="Times New Roman" w:hAnsi="Times New Roman" w:cs="Times New Roman"/>
          <w:sz w:val="24"/>
          <w:szCs w:val="24"/>
        </w:rPr>
        <w:br/>
        <w:t>•  ATEX: 13 sizes from Ø250 to Ø1250 mm</w:t>
      </w:r>
      <w:r w:rsidRPr="00DC368A">
        <w:rPr>
          <w:rFonts w:ascii="Times New Roman" w:eastAsia="Times New Roman" w:hAnsi="Times New Roman" w:cs="Times New Roman"/>
          <w:sz w:val="24"/>
          <w:szCs w:val="24"/>
        </w:rPr>
        <w:br/>
        <w:t>•  EX: 9 sizes from Ø500 to Ø1250 mm</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Hub sizes</w:t>
      </w:r>
      <w:r w:rsidRPr="00DC368A">
        <w:rPr>
          <w:rFonts w:ascii="Times New Roman" w:eastAsia="Times New Roman" w:hAnsi="Times New Roman" w:cs="Times New Roman"/>
          <w:sz w:val="24"/>
          <w:szCs w:val="24"/>
        </w:rPr>
        <w:br/>
        <w:t>•  ATEX: Ø160 or Ø350 mm</w:t>
      </w:r>
      <w:r w:rsidRPr="00DC368A">
        <w:rPr>
          <w:rFonts w:ascii="Times New Roman" w:eastAsia="Times New Roman" w:hAnsi="Times New Roman" w:cs="Times New Roman"/>
          <w:sz w:val="24"/>
          <w:szCs w:val="24"/>
        </w:rPr>
        <w:br/>
        <w:t>•  EX: Ø350 mm</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Fan casing thicknesses</w:t>
      </w:r>
      <w:r w:rsidRPr="00DC368A">
        <w:rPr>
          <w:rFonts w:ascii="Times New Roman" w:eastAsia="Times New Roman" w:hAnsi="Times New Roman" w:cs="Times New Roman"/>
          <w:sz w:val="24"/>
          <w:szCs w:val="24"/>
        </w:rPr>
        <w:br/>
        <w:t>•  ATEX: 2 or 4 mm</w:t>
      </w:r>
      <w:r w:rsidRPr="00DC368A">
        <w:rPr>
          <w:rFonts w:ascii="Times New Roman" w:eastAsia="Times New Roman" w:hAnsi="Times New Roman" w:cs="Times New Roman"/>
          <w:sz w:val="24"/>
          <w:szCs w:val="24"/>
        </w:rPr>
        <w:br/>
        <w:t>•  EX: 10 mm</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Airflow rates from 0.1 to 42 m3/s</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Pressures up to 3300 Pa</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Efficiencies up to 92%</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Adjustable blade angles</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 xml:space="preserve">Fan casing of </w:t>
      </w:r>
      <w:proofErr w:type="spellStart"/>
      <w:r w:rsidRPr="00DC368A">
        <w:rPr>
          <w:rFonts w:ascii="Times New Roman" w:eastAsia="Times New Roman" w:hAnsi="Times New Roman" w:cs="Times New Roman"/>
          <w:sz w:val="24"/>
          <w:szCs w:val="24"/>
        </w:rPr>
        <w:t>AluZink</w:t>
      </w:r>
      <w:proofErr w:type="spellEnd"/>
      <w:r w:rsidRPr="00DC368A">
        <w:rPr>
          <w:rFonts w:ascii="Times New Roman" w:eastAsia="Times New Roman" w:hAnsi="Times New Roman" w:cs="Times New Roman"/>
          <w:sz w:val="24"/>
          <w:szCs w:val="24"/>
        </w:rPr>
        <w:t xml:space="preserve"> (light motors) or </w:t>
      </w:r>
      <w:proofErr w:type="spellStart"/>
      <w:r w:rsidRPr="00DC368A">
        <w:rPr>
          <w:rFonts w:ascii="Times New Roman" w:eastAsia="Times New Roman" w:hAnsi="Times New Roman" w:cs="Times New Roman"/>
          <w:sz w:val="24"/>
          <w:szCs w:val="24"/>
        </w:rPr>
        <w:t>galvanised</w:t>
      </w:r>
      <w:proofErr w:type="spellEnd"/>
      <w:r w:rsidRPr="00DC368A">
        <w:rPr>
          <w:rFonts w:ascii="Times New Roman" w:eastAsia="Times New Roman" w:hAnsi="Times New Roman" w:cs="Times New Roman"/>
          <w:sz w:val="24"/>
          <w:szCs w:val="24"/>
        </w:rPr>
        <w:t xml:space="preserve"> steel (heavy motors)</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 xml:space="preserve">Impeller, guide vanes and motor mount of </w:t>
      </w:r>
      <w:proofErr w:type="spellStart"/>
      <w:r w:rsidRPr="00DC368A">
        <w:rPr>
          <w:rFonts w:ascii="Times New Roman" w:eastAsia="Times New Roman" w:hAnsi="Times New Roman" w:cs="Times New Roman"/>
          <w:sz w:val="24"/>
          <w:szCs w:val="24"/>
        </w:rPr>
        <w:t>aluminium</w:t>
      </w:r>
      <w:proofErr w:type="spellEnd"/>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Classifications</w:t>
      </w:r>
      <w:r w:rsidRPr="00DC368A">
        <w:rPr>
          <w:rFonts w:ascii="Times New Roman" w:eastAsia="Times New Roman" w:hAnsi="Times New Roman" w:cs="Times New Roman"/>
          <w:sz w:val="24"/>
          <w:szCs w:val="24"/>
        </w:rPr>
        <w:br/>
        <w:t>•  ATEX: Category 2G/D according to EU directive 2014/34/EU</w:t>
      </w:r>
      <w:r w:rsidRPr="00DC368A">
        <w:rPr>
          <w:rFonts w:ascii="Times New Roman" w:eastAsia="Times New Roman" w:hAnsi="Times New Roman" w:cs="Times New Roman"/>
          <w:sz w:val="24"/>
          <w:szCs w:val="24"/>
        </w:rPr>
        <w:br/>
        <w:t>•  EX: Non-sparking fans according to guideline IACS F29/2005</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Accessories for mounting, connection, sound attenuation, safety and regulation</w:t>
      </w:r>
    </w:p>
    <w:p w:rsidR="00DC368A" w:rsidRPr="00DC368A" w:rsidRDefault="00DC368A" w:rsidP="00DC36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Optional: execution as standard temperature fan (</w:t>
      </w:r>
      <w:hyperlink r:id="rId5" w:tooltip="Axial Flow Fans ZerAx AZN" w:history="1">
        <w:r w:rsidRPr="00DC368A">
          <w:rPr>
            <w:rFonts w:ascii="Times New Roman" w:eastAsia="Times New Roman" w:hAnsi="Times New Roman" w:cs="Times New Roman"/>
            <w:color w:val="0000FF"/>
            <w:sz w:val="24"/>
            <w:szCs w:val="24"/>
            <w:u w:val="single"/>
          </w:rPr>
          <w:t>AZN</w:t>
        </w:r>
      </w:hyperlink>
      <w:r w:rsidRPr="00DC368A">
        <w:rPr>
          <w:rFonts w:ascii="Times New Roman" w:eastAsia="Times New Roman" w:hAnsi="Times New Roman" w:cs="Times New Roman"/>
          <w:sz w:val="24"/>
          <w:szCs w:val="24"/>
        </w:rPr>
        <w:t xml:space="preserve"> or </w:t>
      </w:r>
      <w:hyperlink r:id="rId6" w:tooltip="Axial Flow Fans ZerAx AZW" w:history="1">
        <w:r w:rsidRPr="00DC368A">
          <w:rPr>
            <w:rFonts w:ascii="Times New Roman" w:eastAsia="Times New Roman" w:hAnsi="Times New Roman" w:cs="Times New Roman"/>
            <w:color w:val="0000FF"/>
            <w:sz w:val="24"/>
            <w:szCs w:val="24"/>
            <w:u w:val="single"/>
          </w:rPr>
          <w:t>AZW</w:t>
        </w:r>
      </w:hyperlink>
      <w:r w:rsidRPr="00DC368A">
        <w:rPr>
          <w:rFonts w:ascii="Times New Roman" w:eastAsia="Times New Roman" w:hAnsi="Times New Roman" w:cs="Times New Roman"/>
          <w:sz w:val="24"/>
          <w:szCs w:val="24"/>
        </w:rPr>
        <w:t>)</w:t>
      </w:r>
    </w:p>
    <w:p w:rsidR="00DC368A" w:rsidRDefault="00DC368A" w:rsidP="00DC368A">
      <w:pPr>
        <w:numPr>
          <w:ilvl w:val="0"/>
          <w:numId w:val="1"/>
        </w:num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sidRPr="00DC368A">
        <w:rPr>
          <w:rFonts w:ascii="Times New Roman" w:eastAsia="Times New Roman" w:hAnsi="Times New Roman" w:cs="Times New Roman"/>
          <w:sz w:val="24"/>
          <w:szCs w:val="24"/>
        </w:rPr>
        <w:t xml:space="preserve">Product configuration with </w:t>
      </w:r>
      <w:hyperlink r:id="rId7" w:tooltip="Software" w:history="1">
        <w:proofErr w:type="spellStart"/>
        <w:r w:rsidRPr="00DC368A">
          <w:rPr>
            <w:rFonts w:ascii="Times New Roman" w:eastAsia="Times New Roman" w:hAnsi="Times New Roman" w:cs="Times New Roman"/>
            <w:color w:val="0000FF"/>
            <w:sz w:val="24"/>
            <w:szCs w:val="24"/>
            <w:u w:val="single"/>
          </w:rPr>
          <w:t>AirBox</w:t>
        </w:r>
        <w:proofErr w:type="spellEnd"/>
        <w:r w:rsidRPr="00DC368A">
          <w:rPr>
            <w:rFonts w:ascii="Times New Roman" w:eastAsia="Times New Roman" w:hAnsi="Times New Roman" w:cs="Times New Roman"/>
            <w:color w:val="0000FF"/>
            <w:sz w:val="24"/>
            <w:szCs w:val="24"/>
            <w:u w:val="single"/>
          </w:rPr>
          <w:t>™</w:t>
        </w:r>
      </w:hyperlink>
    </w:p>
    <w:p w:rsidR="00DC368A" w:rsidRPr="00DC368A" w:rsidRDefault="00DC368A" w:rsidP="00DC368A">
      <w:pPr>
        <w:spacing w:before="100" w:beforeAutospacing="1" w:after="100" w:afterAutospacing="1" w:line="240" w:lineRule="auto"/>
        <w:ind w:left="720"/>
        <w:rPr>
          <w:rFonts w:ascii="Times New Roman" w:eastAsia="Times New Roman" w:hAnsi="Times New Roman" w:cs="Times New Roman"/>
          <w:sz w:val="24"/>
          <w:szCs w:val="24"/>
        </w:rPr>
      </w:pPr>
    </w:p>
    <w:p w:rsidR="00DC368A" w:rsidRDefault="00DC368A" w:rsidP="00DC368A">
      <w:pPr>
        <w:pStyle w:val="Heading1"/>
      </w:pPr>
      <w:r>
        <w:t xml:space="preserve">Axial Flow Fans </w:t>
      </w:r>
      <w:proofErr w:type="spellStart"/>
      <w:r>
        <w:t>NovAx</w:t>
      </w:r>
      <w:proofErr w:type="spellEnd"/>
      <w:r>
        <w:t xml:space="preserve"> ACN ATEX and ACW ATEX </w:t>
      </w:r>
    </w:p>
    <w:p w:rsidR="00DC368A" w:rsidRDefault="00DC368A" w:rsidP="00DC368A">
      <w:pPr>
        <w:pStyle w:val="NormalWeb"/>
      </w:pPr>
      <w:r>
        <w:t xml:space="preserve">The </w:t>
      </w:r>
      <w:proofErr w:type="spellStart"/>
      <w:r>
        <w:t>NovAx</w:t>
      </w:r>
      <w:proofErr w:type="spellEnd"/>
      <w:r>
        <w:t xml:space="preserve"> ACN and ACW ATEX and EX are unidirectional axial flow fans that comply with the ATEX directive 94/9/EU for equipment in explosive atmospheres and environments. The fans are suited for removal of hot smoke in connection with fires as well as transport of polluted air and of hazardous gases.</w:t>
      </w:r>
    </w:p>
    <w:p w:rsidR="00DC368A" w:rsidRDefault="00DC368A" w:rsidP="00DC368A">
      <w:pPr>
        <w:pStyle w:val="NormalWeb"/>
      </w:pPr>
      <w:r>
        <w:rPr>
          <w:rStyle w:val="Strong"/>
        </w:rPr>
        <w:lastRenderedPageBreak/>
        <w:t>Product facts</w:t>
      </w:r>
    </w:p>
    <w:p w:rsidR="00DC368A" w:rsidRDefault="00DC368A" w:rsidP="00DC368A">
      <w:pPr>
        <w:numPr>
          <w:ilvl w:val="0"/>
          <w:numId w:val="2"/>
        </w:numPr>
        <w:spacing w:before="100" w:beforeAutospacing="1" w:after="100" w:afterAutospacing="1" w:line="240" w:lineRule="auto"/>
      </w:pPr>
      <w:r>
        <w:t>For duct installation</w:t>
      </w:r>
    </w:p>
    <w:p w:rsidR="00DC368A" w:rsidRDefault="00DC368A" w:rsidP="00DC368A">
      <w:pPr>
        <w:numPr>
          <w:ilvl w:val="0"/>
          <w:numId w:val="2"/>
        </w:numPr>
        <w:spacing w:before="100" w:beforeAutospacing="1" w:after="100" w:afterAutospacing="1" w:line="240" w:lineRule="auto"/>
      </w:pPr>
      <w:r>
        <w:t>Impeller diameters</w:t>
      </w:r>
      <w:r>
        <w:br/>
        <w:t>•  ATEX and EX: 14 sizes from Ø250 to Ø1600 mm</w:t>
      </w:r>
    </w:p>
    <w:p w:rsidR="00DC368A" w:rsidRDefault="00DC368A" w:rsidP="00DC368A">
      <w:pPr>
        <w:numPr>
          <w:ilvl w:val="0"/>
          <w:numId w:val="2"/>
        </w:numPr>
        <w:spacing w:before="100" w:beforeAutospacing="1" w:after="100" w:afterAutospacing="1" w:line="240" w:lineRule="auto"/>
      </w:pPr>
      <w:r>
        <w:t>Hub sizes</w:t>
      </w:r>
      <w:r>
        <w:br/>
        <w:t>•  ATEX and EX: 7 sizes from Ø160 to Ø578 mm</w:t>
      </w:r>
    </w:p>
    <w:p w:rsidR="00DC368A" w:rsidRDefault="00DC368A" w:rsidP="00DC368A">
      <w:pPr>
        <w:numPr>
          <w:ilvl w:val="0"/>
          <w:numId w:val="2"/>
        </w:numPr>
        <w:spacing w:before="100" w:beforeAutospacing="1" w:after="100" w:afterAutospacing="1" w:line="240" w:lineRule="auto"/>
      </w:pPr>
      <w:r>
        <w:t>Fan casing thicknesses</w:t>
      </w:r>
      <w:r>
        <w:br/>
        <w:t>•  ACN: 2, 3 or 4 mm</w:t>
      </w:r>
      <w:r>
        <w:br/>
        <w:t>•  ACW: 6 or 10 mm</w:t>
      </w:r>
    </w:p>
    <w:p w:rsidR="00DC368A" w:rsidRDefault="00DC368A" w:rsidP="00DC368A">
      <w:pPr>
        <w:numPr>
          <w:ilvl w:val="0"/>
          <w:numId w:val="2"/>
        </w:numPr>
        <w:spacing w:before="100" w:beforeAutospacing="1" w:after="100" w:afterAutospacing="1" w:line="240" w:lineRule="auto"/>
      </w:pPr>
      <w:r>
        <w:t>Airflow rates from 0.1 to 65 m3/s</w:t>
      </w:r>
    </w:p>
    <w:p w:rsidR="00DC368A" w:rsidRDefault="00DC368A" w:rsidP="00DC368A">
      <w:pPr>
        <w:numPr>
          <w:ilvl w:val="0"/>
          <w:numId w:val="2"/>
        </w:numPr>
        <w:spacing w:before="100" w:beforeAutospacing="1" w:after="100" w:afterAutospacing="1" w:line="240" w:lineRule="auto"/>
      </w:pPr>
      <w:r>
        <w:t>Pressures up to 2000 Pa</w:t>
      </w:r>
    </w:p>
    <w:p w:rsidR="00DC368A" w:rsidRDefault="00DC368A" w:rsidP="00DC368A">
      <w:pPr>
        <w:numPr>
          <w:ilvl w:val="0"/>
          <w:numId w:val="2"/>
        </w:numPr>
        <w:spacing w:before="100" w:beforeAutospacing="1" w:after="100" w:afterAutospacing="1" w:line="240" w:lineRule="auto"/>
      </w:pPr>
      <w:r>
        <w:t>Efficiencies up to 83%</w:t>
      </w:r>
    </w:p>
    <w:p w:rsidR="00DC368A" w:rsidRDefault="00DC368A" w:rsidP="00DC368A">
      <w:pPr>
        <w:numPr>
          <w:ilvl w:val="0"/>
          <w:numId w:val="2"/>
        </w:numPr>
        <w:spacing w:before="100" w:beforeAutospacing="1" w:after="100" w:afterAutospacing="1" w:line="240" w:lineRule="auto"/>
      </w:pPr>
      <w:r>
        <w:t>Adjustable blade angles</w:t>
      </w:r>
    </w:p>
    <w:p w:rsidR="00DC368A" w:rsidRDefault="00DC368A" w:rsidP="00DC368A">
      <w:pPr>
        <w:numPr>
          <w:ilvl w:val="0"/>
          <w:numId w:val="2"/>
        </w:numPr>
        <w:spacing w:before="100" w:beforeAutospacing="1" w:after="100" w:afterAutospacing="1" w:line="240" w:lineRule="auto"/>
      </w:pPr>
      <w:r>
        <w:t xml:space="preserve">Fan casing of </w:t>
      </w:r>
      <w:proofErr w:type="spellStart"/>
      <w:r>
        <w:t>galvanised</w:t>
      </w:r>
      <w:proofErr w:type="spellEnd"/>
      <w:r>
        <w:t xml:space="preserve"> steel</w:t>
      </w:r>
    </w:p>
    <w:p w:rsidR="00DC368A" w:rsidRDefault="00DC368A" w:rsidP="00DC368A">
      <w:pPr>
        <w:numPr>
          <w:ilvl w:val="0"/>
          <w:numId w:val="2"/>
        </w:numPr>
        <w:spacing w:before="100" w:beforeAutospacing="1" w:after="100" w:afterAutospacing="1" w:line="240" w:lineRule="auto"/>
      </w:pPr>
      <w:r>
        <w:t xml:space="preserve">Impeller and hub of </w:t>
      </w:r>
      <w:proofErr w:type="spellStart"/>
      <w:r>
        <w:t>aluminium</w:t>
      </w:r>
      <w:proofErr w:type="spellEnd"/>
    </w:p>
    <w:p w:rsidR="00DC368A" w:rsidRDefault="00DC368A" w:rsidP="00DC368A">
      <w:pPr>
        <w:numPr>
          <w:ilvl w:val="0"/>
          <w:numId w:val="2"/>
        </w:numPr>
        <w:spacing w:before="100" w:beforeAutospacing="1" w:after="100" w:afterAutospacing="1" w:line="240" w:lineRule="auto"/>
      </w:pPr>
      <w:r>
        <w:t>Classifications</w:t>
      </w:r>
      <w:r>
        <w:br/>
        <w:t>•  ATEX: Category 2G/D according to EU directive 2014/34/EU</w:t>
      </w:r>
      <w:r>
        <w:br/>
        <w:t>•  EX: Non-sparking fans according to guideline IACS F29/2005</w:t>
      </w:r>
    </w:p>
    <w:p w:rsidR="00DC368A" w:rsidRDefault="00DC368A" w:rsidP="00DC368A">
      <w:pPr>
        <w:numPr>
          <w:ilvl w:val="0"/>
          <w:numId w:val="2"/>
        </w:numPr>
        <w:spacing w:before="100" w:beforeAutospacing="1" w:after="100" w:afterAutospacing="1" w:line="240" w:lineRule="auto"/>
      </w:pPr>
      <w:r>
        <w:t>Accessories for mounting, connection, sound attenuation, safety and regulation</w:t>
      </w:r>
    </w:p>
    <w:p w:rsidR="00DC368A" w:rsidRDefault="00DC368A" w:rsidP="00DC368A">
      <w:pPr>
        <w:numPr>
          <w:ilvl w:val="0"/>
          <w:numId w:val="2"/>
        </w:numPr>
        <w:spacing w:before="100" w:beforeAutospacing="1" w:after="100" w:afterAutospacing="1" w:line="240" w:lineRule="auto"/>
      </w:pPr>
      <w:r>
        <w:t xml:space="preserve">Optional: execution as </w:t>
      </w:r>
      <w:hyperlink r:id="rId8" w:tooltip="Axial Flow Fans NovAx ACN ACW" w:history="1">
        <w:r>
          <w:rPr>
            <w:rStyle w:val="Hyperlink"/>
          </w:rPr>
          <w:t>ACN and ACW standard temperature fans</w:t>
        </w:r>
      </w:hyperlink>
      <w:r>
        <w:t xml:space="preserve"> and as </w:t>
      </w:r>
      <w:hyperlink r:id="rId9" w:tooltip="Axial Flow Fans NovAx ACN Standard Range" w:history="1">
        <w:r>
          <w:rPr>
            <w:rStyle w:val="Hyperlink"/>
          </w:rPr>
          <w:t>ACN standard range fans</w:t>
        </w:r>
      </w:hyperlink>
    </w:p>
    <w:p w:rsidR="00DC368A" w:rsidRDefault="00DC368A" w:rsidP="00DC368A">
      <w:pPr>
        <w:numPr>
          <w:ilvl w:val="0"/>
          <w:numId w:val="2"/>
        </w:numPr>
        <w:pBdr>
          <w:bottom w:val="single" w:sz="6" w:space="1" w:color="auto"/>
        </w:pBdr>
        <w:spacing w:before="100" w:beforeAutospacing="1" w:after="100" w:afterAutospacing="1" w:line="240" w:lineRule="auto"/>
      </w:pPr>
      <w:r>
        <w:t xml:space="preserve">Product configuration with </w:t>
      </w:r>
      <w:hyperlink r:id="rId10" w:tooltip="Software" w:history="1">
        <w:proofErr w:type="spellStart"/>
        <w:r>
          <w:rPr>
            <w:rStyle w:val="Hyperlink"/>
          </w:rPr>
          <w:t>AirBox</w:t>
        </w:r>
        <w:proofErr w:type="spellEnd"/>
        <w:r>
          <w:rPr>
            <w:rStyle w:val="Hyperlink"/>
          </w:rPr>
          <w:t>™</w:t>
        </w:r>
      </w:hyperlink>
    </w:p>
    <w:p w:rsidR="00DC368A" w:rsidRDefault="00DC368A" w:rsidP="00DC368A">
      <w:pPr>
        <w:pStyle w:val="Heading1"/>
      </w:pPr>
      <w:r>
        <w:t xml:space="preserve">Centrifugal Fans CAL ATEX </w:t>
      </w:r>
    </w:p>
    <w:p w:rsidR="00DC368A" w:rsidRDefault="00DC368A" w:rsidP="00DC368A">
      <w:pPr>
        <w:pStyle w:val="NormalWeb"/>
      </w:pPr>
      <w:r>
        <w:t>The CAL are robust centrifugal flow fans that comply with the ATEX directive 94/9/EU for equipment in explosive atmospheres and environments. The fans are suited for removal of hot smoke in connection with fires as well as transport of polluted air and of hazardous gases.</w:t>
      </w:r>
    </w:p>
    <w:p w:rsidR="00DC368A" w:rsidRDefault="00DC368A" w:rsidP="00DC368A">
      <w:pPr>
        <w:pStyle w:val="NormalWeb"/>
      </w:pPr>
      <w:r>
        <w:rPr>
          <w:rStyle w:val="Strong"/>
        </w:rPr>
        <w:t>Product facts</w:t>
      </w:r>
    </w:p>
    <w:p w:rsidR="00DC368A" w:rsidRDefault="00DC368A" w:rsidP="00DC368A">
      <w:pPr>
        <w:numPr>
          <w:ilvl w:val="0"/>
          <w:numId w:val="3"/>
        </w:numPr>
        <w:spacing w:before="100" w:beforeAutospacing="1" w:after="100" w:afterAutospacing="1" w:line="240" w:lineRule="auto"/>
      </w:pPr>
      <w:r>
        <w:t>For flange connection</w:t>
      </w:r>
    </w:p>
    <w:p w:rsidR="00DC368A" w:rsidRDefault="00DC368A" w:rsidP="00DC368A">
      <w:pPr>
        <w:numPr>
          <w:ilvl w:val="0"/>
          <w:numId w:val="3"/>
        </w:numPr>
        <w:spacing w:before="100" w:beforeAutospacing="1" w:after="100" w:afterAutospacing="1" w:line="240" w:lineRule="auto"/>
      </w:pPr>
      <w:r>
        <w:t>9 sizes with impeller diameters from Ø400 to Ø1250 mm</w:t>
      </w:r>
    </w:p>
    <w:p w:rsidR="00DC368A" w:rsidRDefault="00DC368A" w:rsidP="00DC368A">
      <w:pPr>
        <w:numPr>
          <w:ilvl w:val="0"/>
          <w:numId w:val="3"/>
        </w:numPr>
        <w:spacing w:before="100" w:beforeAutospacing="1" w:after="100" w:afterAutospacing="1" w:line="240" w:lineRule="auto"/>
      </w:pPr>
      <w:r>
        <w:t>Airflow rates</w:t>
      </w:r>
      <w:r>
        <w:br/>
        <w:t>•  0.3 to 21 m3/s</w:t>
      </w:r>
      <w:r>
        <w:br/>
        <w:t>•  1100 to 75600 m3/h</w:t>
      </w:r>
    </w:p>
    <w:p w:rsidR="00DC368A" w:rsidRDefault="00DC368A" w:rsidP="00DC368A">
      <w:pPr>
        <w:numPr>
          <w:ilvl w:val="0"/>
          <w:numId w:val="3"/>
        </w:numPr>
        <w:spacing w:before="100" w:beforeAutospacing="1" w:after="100" w:afterAutospacing="1" w:line="240" w:lineRule="auto"/>
      </w:pPr>
      <w:r>
        <w:t>Pressures up to 8500 Pa</w:t>
      </w:r>
    </w:p>
    <w:p w:rsidR="00DC368A" w:rsidRDefault="00DC368A" w:rsidP="00DC368A">
      <w:pPr>
        <w:numPr>
          <w:ilvl w:val="0"/>
          <w:numId w:val="3"/>
        </w:numPr>
        <w:spacing w:before="100" w:beforeAutospacing="1" w:after="100" w:afterAutospacing="1" w:line="240" w:lineRule="auto"/>
      </w:pPr>
      <w:r>
        <w:t>Direct coupled</w:t>
      </w:r>
    </w:p>
    <w:p w:rsidR="00DC368A" w:rsidRDefault="00DC368A" w:rsidP="00DC368A">
      <w:pPr>
        <w:numPr>
          <w:ilvl w:val="0"/>
          <w:numId w:val="3"/>
        </w:numPr>
        <w:spacing w:before="100" w:beforeAutospacing="1" w:after="100" w:afterAutospacing="1" w:line="240" w:lineRule="auto"/>
      </w:pPr>
      <w:r>
        <w:t>Backward-curved blades</w:t>
      </w:r>
    </w:p>
    <w:p w:rsidR="00DC368A" w:rsidRDefault="00DC368A" w:rsidP="00DC368A">
      <w:pPr>
        <w:numPr>
          <w:ilvl w:val="0"/>
          <w:numId w:val="3"/>
        </w:numPr>
        <w:spacing w:before="100" w:beforeAutospacing="1" w:after="100" w:afterAutospacing="1" w:line="240" w:lineRule="auto"/>
      </w:pPr>
      <w:r>
        <w:t>Motor and impeller can be dismounted from the motor side</w:t>
      </w:r>
    </w:p>
    <w:p w:rsidR="00DC368A" w:rsidRDefault="00DC368A" w:rsidP="00DC368A">
      <w:pPr>
        <w:numPr>
          <w:ilvl w:val="0"/>
          <w:numId w:val="3"/>
        </w:numPr>
        <w:spacing w:before="100" w:beforeAutospacing="1" w:after="100" w:afterAutospacing="1" w:line="240" w:lineRule="auto"/>
      </w:pPr>
      <w:r>
        <w:t>Housing, impeller, brackets and guide vanes of steel</w:t>
      </w:r>
    </w:p>
    <w:p w:rsidR="00DC368A" w:rsidRDefault="00DC368A" w:rsidP="00DC368A">
      <w:pPr>
        <w:numPr>
          <w:ilvl w:val="0"/>
          <w:numId w:val="3"/>
        </w:numPr>
        <w:spacing w:before="100" w:beforeAutospacing="1" w:after="100" w:afterAutospacing="1" w:line="240" w:lineRule="auto"/>
      </w:pPr>
      <w:r>
        <w:t xml:space="preserve">Surface treatment of hot-dip </w:t>
      </w:r>
      <w:proofErr w:type="spellStart"/>
      <w:r>
        <w:t>galvanisation</w:t>
      </w:r>
      <w:proofErr w:type="spellEnd"/>
    </w:p>
    <w:p w:rsidR="00DC368A" w:rsidRDefault="00DC368A" w:rsidP="00DC368A">
      <w:pPr>
        <w:numPr>
          <w:ilvl w:val="0"/>
          <w:numId w:val="3"/>
        </w:numPr>
        <w:spacing w:before="100" w:beforeAutospacing="1" w:after="100" w:afterAutospacing="1" w:line="240" w:lineRule="auto"/>
      </w:pPr>
      <w:r>
        <w:t>Classifications</w:t>
      </w:r>
      <w:r>
        <w:br/>
        <w:t>•  ATEX: Category 2G/D according to EU directive 2014/34/EU</w:t>
      </w:r>
    </w:p>
    <w:p w:rsidR="00DC368A" w:rsidRDefault="00DC368A" w:rsidP="00DC368A">
      <w:pPr>
        <w:numPr>
          <w:ilvl w:val="0"/>
          <w:numId w:val="3"/>
        </w:numPr>
        <w:spacing w:before="100" w:beforeAutospacing="1" w:after="100" w:afterAutospacing="1" w:line="240" w:lineRule="auto"/>
      </w:pPr>
      <w:r>
        <w:t>Accessories for mounting, connection, safety and regulation</w:t>
      </w:r>
    </w:p>
    <w:p w:rsidR="00DC368A" w:rsidRDefault="00DC368A" w:rsidP="00DC368A">
      <w:pPr>
        <w:numPr>
          <w:ilvl w:val="0"/>
          <w:numId w:val="3"/>
        </w:numPr>
        <w:pBdr>
          <w:bottom w:val="single" w:sz="6" w:space="1" w:color="auto"/>
        </w:pBdr>
        <w:spacing w:before="100" w:beforeAutospacing="1" w:after="100" w:afterAutospacing="1" w:line="240" w:lineRule="auto"/>
      </w:pPr>
      <w:r>
        <w:lastRenderedPageBreak/>
        <w:t xml:space="preserve">Optional: Execution as </w:t>
      </w:r>
      <w:hyperlink r:id="rId11" w:tooltip="Centrifugal Fans CAL DSR" w:history="1">
        <w:r>
          <w:rPr>
            <w:rStyle w:val="Hyperlink"/>
          </w:rPr>
          <w:t>standard temperature fans</w:t>
        </w:r>
      </w:hyperlink>
    </w:p>
    <w:p w:rsidR="00DC368A" w:rsidRDefault="00DC368A" w:rsidP="00DC368A">
      <w:pPr>
        <w:pStyle w:val="Heading1"/>
      </w:pPr>
      <w:r>
        <w:t xml:space="preserve">Centrifugal Fans CNA CNB EX </w:t>
      </w:r>
    </w:p>
    <w:p w:rsidR="00DC368A" w:rsidRDefault="00DC368A" w:rsidP="00DC368A">
      <w:pPr>
        <w:pStyle w:val="NormalWeb"/>
      </w:pPr>
      <w:r>
        <w:t>The CNA-CNB are low-pressure centrifugal flow fans for operation in non-corrosive environments. The design is for universal installation in light industrial plants.</w:t>
      </w:r>
    </w:p>
    <w:p w:rsidR="00DC368A" w:rsidRDefault="00DC368A" w:rsidP="00DC368A">
      <w:pPr>
        <w:pStyle w:val="NormalWeb"/>
      </w:pPr>
      <w:r>
        <w:rPr>
          <w:rStyle w:val="Strong"/>
        </w:rPr>
        <w:t>Product facts</w:t>
      </w:r>
    </w:p>
    <w:p w:rsidR="00DC368A" w:rsidRDefault="00DC368A" w:rsidP="00DC368A">
      <w:pPr>
        <w:numPr>
          <w:ilvl w:val="0"/>
          <w:numId w:val="4"/>
        </w:numPr>
        <w:spacing w:before="100" w:beforeAutospacing="1" w:after="100" w:afterAutospacing="1" w:line="240" w:lineRule="auto"/>
      </w:pPr>
      <w:r>
        <w:t>For flange connection</w:t>
      </w:r>
    </w:p>
    <w:p w:rsidR="00DC368A" w:rsidRDefault="00DC368A" w:rsidP="00DC368A">
      <w:pPr>
        <w:numPr>
          <w:ilvl w:val="0"/>
          <w:numId w:val="4"/>
        </w:numPr>
        <w:spacing w:before="100" w:beforeAutospacing="1" w:after="100" w:afterAutospacing="1" w:line="240" w:lineRule="auto"/>
      </w:pPr>
      <w:r>
        <w:t>Impeller diameters</w:t>
      </w:r>
      <w:r>
        <w:br/>
        <w:t>•  CNA: 9 sizes from Ø250 to Ø1000 mm</w:t>
      </w:r>
      <w:r>
        <w:br/>
        <w:t>•  CNB: 7 sizes from Ø400 to Ø1000 mm</w:t>
      </w:r>
    </w:p>
    <w:p w:rsidR="00DC368A" w:rsidRDefault="00DC368A" w:rsidP="00DC368A">
      <w:pPr>
        <w:numPr>
          <w:ilvl w:val="0"/>
          <w:numId w:val="4"/>
        </w:numPr>
        <w:spacing w:before="100" w:beforeAutospacing="1" w:after="100" w:afterAutospacing="1" w:line="240" w:lineRule="auto"/>
      </w:pPr>
      <w:r>
        <w:t>Airflow rates</w:t>
      </w:r>
      <w:r>
        <w:br/>
        <w:t>•  CNA: 0.2 to 14 m3/s (720 to 50400 m3/h)</w:t>
      </w:r>
      <w:r>
        <w:br/>
        <w:t>•  CNB: 0.8 to 18 m3/s (2880 to 64800 m3/h)</w:t>
      </w:r>
    </w:p>
    <w:p w:rsidR="00DC368A" w:rsidRDefault="00DC368A" w:rsidP="00DC368A">
      <w:pPr>
        <w:numPr>
          <w:ilvl w:val="0"/>
          <w:numId w:val="4"/>
        </w:numPr>
        <w:spacing w:before="100" w:beforeAutospacing="1" w:after="100" w:afterAutospacing="1" w:line="240" w:lineRule="auto"/>
      </w:pPr>
      <w:r>
        <w:t>Pressures</w:t>
      </w:r>
      <w:r>
        <w:br/>
        <w:t>•  CNA: Up to 1000 Pa</w:t>
      </w:r>
      <w:r>
        <w:br/>
        <w:t>•  CNB: Up to 1500 Pa</w:t>
      </w:r>
    </w:p>
    <w:p w:rsidR="00DC368A" w:rsidRDefault="00DC368A" w:rsidP="00DC368A">
      <w:pPr>
        <w:numPr>
          <w:ilvl w:val="0"/>
          <w:numId w:val="4"/>
        </w:numPr>
        <w:spacing w:before="100" w:beforeAutospacing="1" w:after="100" w:afterAutospacing="1" w:line="240" w:lineRule="auto"/>
      </w:pPr>
      <w:r>
        <w:t>Direct coupled or belt-driven versions</w:t>
      </w:r>
    </w:p>
    <w:p w:rsidR="00DC368A" w:rsidRDefault="00DC368A" w:rsidP="00DC368A">
      <w:pPr>
        <w:numPr>
          <w:ilvl w:val="0"/>
          <w:numId w:val="4"/>
        </w:numPr>
        <w:spacing w:before="100" w:beforeAutospacing="1" w:after="100" w:afterAutospacing="1" w:line="240" w:lineRule="auto"/>
      </w:pPr>
      <w:r>
        <w:t>Backward-curved blades</w:t>
      </w:r>
    </w:p>
    <w:p w:rsidR="00DC368A" w:rsidRDefault="00DC368A" w:rsidP="00DC368A">
      <w:pPr>
        <w:numPr>
          <w:ilvl w:val="0"/>
          <w:numId w:val="4"/>
        </w:numPr>
        <w:spacing w:before="100" w:beforeAutospacing="1" w:after="100" w:afterAutospacing="1" w:line="240" w:lineRule="auto"/>
      </w:pPr>
      <w:r>
        <w:t>Low sound level</w:t>
      </w:r>
    </w:p>
    <w:p w:rsidR="00DC368A" w:rsidRDefault="00DC368A" w:rsidP="00DC368A">
      <w:pPr>
        <w:numPr>
          <w:ilvl w:val="0"/>
          <w:numId w:val="4"/>
        </w:numPr>
        <w:spacing w:before="100" w:beforeAutospacing="1" w:after="100" w:afterAutospacing="1" w:line="240" w:lineRule="auto"/>
      </w:pPr>
      <w:r>
        <w:t>Can be mounted in any position</w:t>
      </w:r>
    </w:p>
    <w:p w:rsidR="00DC368A" w:rsidRDefault="00DC368A" w:rsidP="00DC368A">
      <w:pPr>
        <w:numPr>
          <w:ilvl w:val="0"/>
          <w:numId w:val="4"/>
        </w:numPr>
        <w:spacing w:before="100" w:beforeAutospacing="1" w:after="100" w:afterAutospacing="1" w:line="240" w:lineRule="auto"/>
      </w:pPr>
      <w:r>
        <w:t xml:space="preserve">Housing and impeller of hot-dip </w:t>
      </w:r>
      <w:proofErr w:type="spellStart"/>
      <w:r>
        <w:t>galvanised</w:t>
      </w:r>
      <w:proofErr w:type="spellEnd"/>
      <w:r>
        <w:t xml:space="preserve"> sheet steel</w:t>
      </w:r>
    </w:p>
    <w:p w:rsidR="00DC368A" w:rsidRDefault="00DC368A" w:rsidP="00DC368A">
      <w:pPr>
        <w:numPr>
          <w:ilvl w:val="0"/>
          <w:numId w:val="4"/>
        </w:numPr>
        <w:spacing w:before="100" w:beforeAutospacing="1" w:after="100" w:afterAutospacing="1" w:line="240" w:lineRule="auto"/>
      </w:pPr>
      <w:r>
        <w:t>Accessories for mounting, connection, safety and regulation</w:t>
      </w:r>
    </w:p>
    <w:p w:rsidR="00DC368A" w:rsidRDefault="00DC368A" w:rsidP="00DC368A">
      <w:pPr>
        <w:numPr>
          <w:ilvl w:val="0"/>
          <w:numId w:val="4"/>
        </w:numPr>
        <w:spacing w:before="100" w:beforeAutospacing="1" w:after="100" w:afterAutospacing="1" w:line="240" w:lineRule="auto"/>
      </w:pPr>
      <w:r>
        <w:t>Corrosion category C2 according to DS/EN ISO 12944-2</w:t>
      </w:r>
    </w:p>
    <w:p w:rsidR="00DC368A" w:rsidRDefault="00DC368A" w:rsidP="00DC368A">
      <w:pPr>
        <w:numPr>
          <w:ilvl w:val="0"/>
          <w:numId w:val="4"/>
        </w:numPr>
        <w:pBdr>
          <w:bottom w:val="single" w:sz="6" w:space="1" w:color="auto"/>
        </w:pBdr>
        <w:spacing w:before="100" w:beforeAutospacing="1" w:after="100" w:afterAutospacing="1" w:line="240" w:lineRule="auto"/>
      </w:pPr>
      <w:r>
        <w:t xml:space="preserve">Product configuration with </w:t>
      </w:r>
      <w:hyperlink r:id="rId12" w:tooltip="Software" w:history="1">
        <w:proofErr w:type="spellStart"/>
        <w:r>
          <w:rPr>
            <w:rStyle w:val="Hyperlink"/>
          </w:rPr>
          <w:t>AirBox</w:t>
        </w:r>
        <w:proofErr w:type="spellEnd"/>
        <w:r>
          <w:rPr>
            <w:rStyle w:val="Hyperlink"/>
          </w:rPr>
          <w:t>™</w:t>
        </w:r>
      </w:hyperlink>
    </w:p>
    <w:p w:rsidR="00DC368A" w:rsidRDefault="00DC368A" w:rsidP="00DC368A">
      <w:pPr>
        <w:pStyle w:val="Heading1"/>
      </w:pPr>
      <w:r>
        <w:t xml:space="preserve">Centrifugal Fans CND CNF ATEX </w:t>
      </w:r>
    </w:p>
    <w:p w:rsidR="00DC368A" w:rsidRDefault="00DC368A" w:rsidP="00DC368A">
      <w:pPr>
        <w:pStyle w:val="NormalWeb"/>
      </w:pPr>
      <w:r>
        <w:t>The CND-CNF are low and medium pressure centrifugal flow fans that comply with the ATEX directive 94/9/EU for equipment in explosive atmospheres and environments. The fans are suited for removal of hot smoke in connection with fires as well as transport of polluted air and of hazardous gases.</w:t>
      </w:r>
    </w:p>
    <w:p w:rsidR="00DC368A" w:rsidRDefault="00DC368A" w:rsidP="00DC368A">
      <w:pPr>
        <w:pStyle w:val="NormalWeb"/>
      </w:pPr>
      <w:r>
        <w:rPr>
          <w:rStyle w:val="Strong"/>
        </w:rPr>
        <w:t>Product facts</w:t>
      </w:r>
    </w:p>
    <w:p w:rsidR="00DC368A" w:rsidRDefault="00DC368A" w:rsidP="00DC368A">
      <w:pPr>
        <w:numPr>
          <w:ilvl w:val="0"/>
          <w:numId w:val="5"/>
        </w:numPr>
        <w:spacing w:before="100" w:beforeAutospacing="1" w:after="100" w:afterAutospacing="1" w:line="240" w:lineRule="auto"/>
      </w:pPr>
      <w:r>
        <w:t>For flange connection</w:t>
      </w:r>
    </w:p>
    <w:p w:rsidR="00DC368A" w:rsidRDefault="00DC368A" w:rsidP="00DC368A">
      <w:pPr>
        <w:numPr>
          <w:ilvl w:val="0"/>
          <w:numId w:val="5"/>
        </w:numPr>
        <w:spacing w:before="100" w:beforeAutospacing="1" w:after="100" w:afterAutospacing="1" w:line="240" w:lineRule="auto"/>
      </w:pPr>
      <w:r>
        <w:t>7 sizes with impeller diameters from Ø315 to Ø710 mm</w:t>
      </w:r>
    </w:p>
    <w:p w:rsidR="00DC368A" w:rsidRDefault="00DC368A" w:rsidP="00DC368A">
      <w:pPr>
        <w:numPr>
          <w:ilvl w:val="0"/>
          <w:numId w:val="5"/>
        </w:numPr>
        <w:spacing w:before="100" w:beforeAutospacing="1" w:after="100" w:afterAutospacing="1" w:line="240" w:lineRule="auto"/>
      </w:pPr>
      <w:r>
        <w:t>Airflow rates</w:t>
      </w:r>
      <w:r>
        <w:br/>
        <w:t>•  CND: 0.2 to 10 m3/s (700 to 36000 m3/h)</w:t>
      </w:r>
      <w:r>
        <w:br/>
        <w:t>•  CNF: 0.2 to 11 m3/s (700 to 39600 m3/h)</w:t>
      </w:r>
    </w:p>
    <w:p w:rsidR="00DC368A" w:rsidRDefault="00DC368A" w:rsidP="00DC368A">
      <w:pPr>
        <w:numPr>
          <w:ilvl w:val="0"/>
          <w:numId w:val="5"/>
        </w:numPr>
        <w:spacing w:before="100" w:beforeAutospacing="1" w:after="100" w:afterAutospacing="1" w:line="240" w:lineRule="auto"/>
      </w:pPr>
      <w:r>
        <w:t>Pressures</w:t>
      </w:r>
      <w:r>
        <w:br/>
        <w:t>•  CND: Up to 2000 Pa</w:t>
      </w:r>
      <w:r>
        <w:br/>
        <w:t>•  CNF: Up to 4000 Pa</w:t>
      </w:r>
    </w:p>
    <w:p w:rsidR="00DC368A" w:rsidRDefault="00DC368A" w:rsidP="00DC368A">
      <w:pPr>
        <w:numPr>
          <w:ilvl w:val="0"/>
          <w:numId w:val="5"/>
        </w:numPr>
        <w:spacing w:before="100" w:beforeAutospacing="1" w:after="100" w:afterAutospacing="1" w:line="240" w:lineRule="auto"/>
      </w:pPr>
      <w:r>
        <w:lastRenderedPageBreak/>
        <w:t>Direct coupled or belt-driven versions</w:t>
      </w:r>
    </w:p>
    <w:p w:rsidR="00DC368A" w:rsidRDefault="00DC368A" w:rsidP="00DC368A">
      <w:pPr>
        <w:numPr>
          <w:ilvl w:val="0"/>
          <w:numId w:val="5"/>
        </w:numPr>
        <w:spacing w:before="100" w:beforeAutospacing="1" w:after="100" w:afterAutospacing="1" w:line="240" w:lineRule="auto"/>
      </w:pPr>
      <w:r>
        <w:t>Backward-curved blades</w:t>
      </w:r>
    </w:p>
    <w:p w:rsidR="00DC368A" w:rsidRDefault="00DC368A" w:rsidP="00DC368A">
      <w:pPr>
        <w:numPr>
          <w:ilvl w:val="0"/>
          <w:numId w:val="5"/>
        </w:numPr>
        <w:spacing w:before="100" w:beforeAutospacing="1" w:after="100" w:afterAutospacing="1" w:line="240" w:lineRule="auto"/>
      </w:pPr>
      <w:r>
        <w:t>Low sound level</w:t>
      </w:r>
    </w:p>
    <w:p w:rsidR="00DC368A" w:rsidRDefault="00DC368A" w:rsidP="00DC368A">
      <w:pPr>
        <w:numPr>
          <w:ilvl w:val="0"/>
          <w:numId w:val="5"/>
        </w:numPr>
        <w:spacing w:before="100" w:beforeAutospacing="1" w:after="100" w:afterAutospacing="1" w:line="240" w:lineRule="auto"/>
      </w:pPr>
      <w:r>
        <w:t>Can be mounted in any position</w:t>
      </w:r>
    </w:p>
    <w:p w:rsidR="00DC368A" w:rsidRDefault="00DC368A" w:rsidP="00DC368A">
      <w:pPr>
        <w:numPr>
          <w:ilvl w:val="0"/>
          <w:numId w:val="5"/>
        </w:numPr>
        <w:spacing w:before="100" w:beforeAutospacing="1" w:after="100" w:afterAutospacing="1" w:line="240" w:lineRule="auto"/>
      </w:pPr>
      <w:r>
        <w:t>Excellent operating economy</w:t>
      </w:r>
    </w:p>
    <w:p w:rsidR="00DC368A" w:rsidRDefault="00DC368A" w:rsidP="00DC368A">
      <w:pPr>
        <w:numPr>
          <w:ilvl w:val="0"/>
          <w:numId w:val="5"/>
        </w:numPr>
        <w:spacing w:before="100" w:beforeAutospacing="1" w:after="100" w:afterAutospacing="1" w:line="240" w:lineRule="auto"/>
      </w:pPr>
      <w:r>
        <w:t xml:space="preserve">Housing and impeller of hot-dip </w:t>
      </w:r>
      <w:proofErr w:type="spellStart"/>
      <w:r>
        <w:t>galvanised</w:t>
      </w:r>
      <w:proofErr w:type="spellEnd"/>
      <w:r>
        <w:t xml:space="preserve"> sheet steel</w:t>
      </w:r>
    </w:p>
    <w:p w:rsidR="00DC368A" w:rsidRDefault="00DC368A" w:rsidP="00DC368A">
      <w:pPr>
        <w:numPr>
          <w:ilvl w:val="0"/>
          <w:numId w:val="5"/>
        </w:numPr>
        <w:spacing w:before="100" w:beforeAutospacing="1" w:after="100" w:afterAutospacing="1" w:line="240" w:lineRule="auto"/>
      </w:pPr>
      <w:r>
        <w:t>Classifications</w:t>
      </w:r>
      <w:r>
        <w:br/>
        <w:t>•  ATEX: Category 2G/D according to EU directive 2014/34/EU</w:t>
      </w:r>
      <w:r>
        <w:br/>
        <w:t>•  Corrosion category C5-I (very high) according to DS/EN ISO 12944-2</w:t>
      </w:r>
    </w:p>
    <w:p w:rsidR="00DC368A" w:rsidRDefault="00DC368A" w:rsidP="00DC368A">
      <w:pPr>
        <w:numPr>
          <w:ilvl w:val="0"/>
          <w:numId w:val="5"/>
        </w:numPr>
        <w:spacing w:before="100" w:beforeAutospacing="1" w:after="100" w:afterAutospacing="1" w:line="240" w:lineRule="auto"/>
      </w:pPr>
      <w:r>
        <w:t>Accessories for mounting, connection, safety and regulation</w:t>
      </w:r>
    </w:p>
    <w:p w:rsidR="00DC368A" w:rsidRDefault="00DC368A" w:rsidP="00DC368A">
      <w:pPr>
        <w:numPr>
          <w:ilvl w:val="0"/>
          <w:numId w:val="5"/>
        </w:numPr>
        <w:spacing w:before="100" w:beforeAutospacing="1" w:after="100" w:afterAutospacing="1" w:line="240" w:lineRule="auto"/>
      </w:pPr>
      <w:r>
        <w:t xml:space="preserve">Optional: Execution as </w:t>
      </w:r>
      <w:hyperlink r:id="rId13" w:tooltip="Centrifugal Fans CND CNF" w:history="1">
        <w:r>
          <w:rPr>
            <w:rStyle w:val="Hyperlink"/>
          </w:rPr>
          <w:t>standard temperature fans</w:t>
        </w:r>
      </w:hyperlink>
    </w:p>
    <w:p w:rsidR="00DC368A" w:rsidRDefault="00DC368A">
      <w:bookmarkStart w:id="0" w:name="_GoBack"/>
      <w:bookmarkEnd w:id="0"/>
    </w:p>
    <w:sectPr w:rsidR="00DC36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83BAD"/>
    <w:multiLevelType w:val="multilevel"/>
    <w:tmpl w:val="4DE6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B37587"/>
    <w:multiLevelType w:val="multilevel"/>
    <w:tmpl w:val="F7AA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137AA7"/>
    <w:multiLevelType w:val="multilevel"/>
    <w:tmpl w:val="5422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35584D"/>
    <w:multiLevelType w:val="multilevel"/>
    <w:tmpl w:val="B856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6D13FB"/>
    <w:multiLevelType w:val="multilevel"/>
    <w:tmpl w:val="80C2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1ED"/>
    <w:rsid w:val="00383378"/>
    <w:rsid w:val="00BB71ED"/>
    <w:rsid w:val="00DC36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BCAC6-218A-4616-926A-A89A63C6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C36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68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C36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368A"/>
    <w:rPr>
      <w:b/>
      <w:bCs/>
    </w:rPr>
  </w:style>
  <w:style w:type="character" w:styleId="Hyperlink">
    <w:name w:val="Hyperlink"/>
    <w:basedOn w:val="DefaultParagraphFont"/>
    <w:uiPriority w:val="99"/>
    <w:semiHidden/>
    <w:unhideWhenUsed/>
    <w:rsid w:val="00DC36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897913">
      <w:bodyDiv w:val="1"/>
      <w:marLeft w:val="0"/>
      <w:marRight w:val="0"/>
      <w:marTop w:val="0"/>
      <w:marBottom w:val="0"/>
      <w:divBdr>
        <w:top w:val="none" w:sz="0" w:space="0" w:color="auto"/>
        <w:left w:val="none" w:sz="0" w:space="0" w:color="auto"/>
        <w:bottom w:val="none" w:sz="0" w:space="0" w:color="auto"/>
        <w:right w:val="none" w:sz="0" w:space="0" w:color="auto"/>
      </w:divBdr>
      <w:divsChild>
        <w:div w:id="1475638978">
          <w:marLeft w:val="0"/>
          <w:marRight w:val="0"/>
          <w:marTop w:val="0"/>
          <w:marBottom w:val="0"/>
          <w:divBdr>
            <w:top w:val="none" w:sz="0" w:space="0" w:color="auto"/>
            <w:left w:val="none" w:sz="0" w:space="0" w:color="auto"/>
            <w:bottom w:val="none" w:sz="0" w:space="0" w:color="auto"/>
            <w:right w:val="none" w:sz="0" w:space="0" w:color="auto"/>
          </w:divBdr>
        </w:div>
      </w:divsChild>
    </w:div>
    <w:div w:id="1194658528">
      <w:bodyDiv w:val="1"/>
      <w:marLeft w:val="0"/>
      <w:marRight w:val="0"/>
      <w:marTop w:val="0"/>
      <w:marBottom w:val="0"/>
      <w:divBdr>
        <w:top w:val="none" w:sz="0" w:space="0" w:color="auto"/>
        <w:left w:val="none" w:sz="0" w:space="0" w:color="auto"/>
        <w:bottom w:val="none" w:sz="0" w:space="0" w:color="auto"/>
        <w:right w:val="none" w:sz="0" w:space="0" w:color="auto"/>
      </w:divBdr>
      <w:divsChild>
        <w:div w:id="1665471248">
          <w:marLeft w:val="0"/>
          <w:marRight w:val="0"/>
          <w:marTop w:val="0"/>
          <w:marBottom w:val="0"/>
          <w:divBdr>
            <w:top w:val="none" w:sz="0" w:space="0" w:color="auto"/>
            <w:left w:val="none" w:sz="0" w:space="0" w:color="auto"/>
            <w:bottom w:val="none" w:sz="0" w:space="0" w:color="auto"/>
            <w:right w:val="none" w:sz="0" w:space="0" w:color="auto"/>
          </w:divBdr>
        </w:div>
      </w:divsChild>
    </w:div>
    <w:div w:id="1517188999">
      <w:bodyDiv w:val="1"/>
      <w:marLeft w:val="0"/>
      <w:marRight w:val="0"/>
      <w:marTop w:val="0"/>
      <w:marBottom w:val="0"/>
      <w:divBdr>
        <w:top w:val="none" w:sz="0" w:space="0" w:color="auto"/>
        <w:left w:val="none" w:sz="0" w:space="0" w:color="auto"/>
        <w:bottom w:val="none" w:sz="0" w:space="0" w:color="auto"/>
        <w:right w:val="none" w:sz="0" w:space="0" w:color="auto"/>
      </w:divBdr>
      <w:divsChild>
        <w:div w:id="582375170">
          <w:marLeft w:val="0"/>
          <w:marRight w:val="0"/>
          <w:marTop w:val="0"/>
          <w:marBottom w:val="0"/>
          <w:divBdr>
            <w:top w:val="none" w:sz="0" w:space="0" w:color="auto"/>
            <w:left w:val="none" w:sz="0" w:space="0" w:color="auto"/>
            <w:bottom w:val="none" w:sz="0" w:space="0" w:color="auto"/>
            <w:right w:val="none" w:sz="0" w:space="0" w:color="auto"/>
          </w:divBdr>
          <w:divsChild>
            <w:div w:id="1337729114">
              <w:marLeft w:val="0"/>
              <w:marRight w:val="0"/>
              <w:marTop w:val="0"/>
              <w:marBottom w:val="0"/>
              <w:divBdr>
                <w:top w:val="none" w:sz="0" w:space="0" w:color="auto"/>
                <w:left w:val="none" w:sz="0" w:space="0" w:color="auto"/>
                <w:bottom w:val="none" w:sz="0" w:space="0" w:color="auto"/>
                <w:right w:val="none" w:sz="0" w:space="0" w:color="auto"/>
              </w:divBdr>
              <w:divsChild>
                <w:div w:id="695689712">
                  <w:marLeft w:val="0"/>
                  <w:marRight w:val="0"/>
                  <w:marTop w:val="0"/>
                  <w:marBottom w:val="0"/>
                  <w:divBdr>
                    <w:top w:val="none" w:sz="0" w:space="0" w:color="auto"/>
                    <w:left w:val="none" w:sz="0" w:space="0" w:color="auto"/>
                    <w:bottom w:val="none" w:sz="0" w:space="0" w:color="auto"/>
                    <w:right w:val="none" w:sz="0" w:space="0" w:color="auto"/>
                  </w:divBdr>
                  <w:divsChild>
                    <w:div w:id="138964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632959">
          <w:marLeft w:val="0"/>
          <w:marRight w:val="0"/>
          <w:marTop w:val="0"/>
          <w:marBottom w:val="0"/>
          <w:divBdr>
            <w:top w:val="none" w:sz="0" w:space="0" w:color="auto"/>
            <w:left w:val="none" w:sz="0" w:space="0" w:color="auto"/>
            <w:bottom w:val="none" w:sz="0" w:space="0" w:color="auto"/>
            <w:right w:val="none" w:sz="0" w:space="0" w:color="auto"/>
          </w:divBdr>
        </w:div>
        <w:div w:id="748502836">
          <w:marLeft w:val="0"/>
          <w:marRight w:val="0"/>
          <w:marTop w:val="0"/>
          <w:marBottom w:val="0"/>
          <w:divBdr>
            <w:top w:val="none" w:sz="0" w:space="0" w:color="auto"/>
            <w:left w:val="none" w:sz="0" w:space="0" w:color="auto"/>
            <w:bottom w:val="none" w:sz="0" w:space="0" w:color="auto"/>
            <w:right w:val="none" w:sz="0" w:space="0" w:color="auto"/>
          </w:divBdr>
          <w:divsChild>
            <w:div w:id="60107897">
              <w:marLeft w:val="0"/>
              <w:marRight w:val="0"/>
              <w:marTop w:val="0"/>
              <w:marBottom w:val="0"/>
              <w:divBdr>
                <w:top w:val="none" w:sz="0" w:space="0" w:color="auto"/>
                <w:left w:val="none" w:sz="0" w:space="0" w:color="auto"/>
                <w:bottom w:val="none" w:sz="0" w:space="0" w:color="auto"/>
                <w:right w:val="none" w:sz="0" w:space="0" w:color="auto"/>
              </w:divBdr>
              <w:divsChild>
                <w:div w:id="660930893">
                  <w:marLeft w:val="0"/>
                  <w:marRight w:val="0"/>
                  <w:marTop w:val="0"/>
                  <w:marBottom w:val="0"/>
                  <w:divBdr>
                    <w:top w:val="none" w:sz="0" w:space="0" w:color="auto"/>
                    <w:left w:val="none" w:sz="0" w:space="0" w:color="auto"/>
                    <w:bottom w:val="none" w:sz="0" w:space="0" w:color="auto"/>
                    <w:right w:val="none" w:sz="0" w:space="0" w:color="auto"/>
                  </w:divBdr>
                </w:div>
                <w:div w:id="583297030">
                  <w:marLeft w:val="0"/>
                  <w:marRight w:val="0"/>
                  <w:marTop w:val="0"/>
                  <w:marBottom w:val="0"/>
                  <w:divBdr>
                    <w:top w:val="none" w:sz="0" w:space="0" w:color="auto"/>
                    <w:left w:val="none" w:sz="0" w:space="0" w:color="auto"/>
                    <w:bottom w:val="none" w:sz="0" w:space="0" w:color="auto"/>
                    <w:right w:val="none" w:sz="0" w:space="0" w:color="auto"/>
                  </w:divBdr>
                </w:div>
                <w:div w:id="36048880">
                  <w:marLeft w:val="0"/>
                  <w:marRight w:val="0"/>
                  <w:marTop w:val="0"/>
                  <w:marBottom w:val="0"/>
                  <w:divBdr>
                    <w:top w:val="none" w:sz="0" w:space="0" w:color="auto"/>
                    <w:left w:val="none" w:sz="0" w:space="0" w:color="auto"/>
                    <w:bottom w:val="none" w:sz="0" w:space="0" w:color="auto"/>
                    <w:right w:val="none" w:sz="0" w:space="0" w:color="auto"/>
                  </w:divBdr>
                  <w:divsChild>
                    <w:div w:id="5133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975176">
      <w:bodyDiv w:val="1"/>
      <w:marLeft w:val="0"/>
      <w:marRight w:val="0"/>
      <w:marTop w:val="0"/>
      <w:marBottom w:val="0"/>
      <w:divBdr>
        <w:top w:val="none" w:sz="0" w:space="0" w:color="auto"/>
        <w:left w:val="none" w:sz="0" w:space="0" w:color="auto"/>
        <w:bottom w:val="none" w:sz="0" w:space="0" w:color="auto"/>
        <w:right w:val="none" w:sz="0" w:space="0" w:color="auto"/>
      </w:divBdr>
      <w:divsChild>
        <w:div w:id="1278215288">
          <w:marLeft w:val="0"/>
          <w:marRight w:val="0"/>
          <w:marTop w:val="0"/>
          <w:marBottom w:val="0"/>
          <w:divBdr>
            <w:top w:val="none" w:sz="0" w:space="0" w:color="auto"/>
            <w:left w:val="none" w:sz="0" w:space="0" w:color="auto"/>
            <w:bottom w:val="none" w:sz="0" w:space="0" w:color="auto"/>
            <w:right w:val="none" w:sz="0" w:space="0" w:color="auto"/>
          </w:divBdr>
        </w:div>
      </w:divsChild>
    </w:div>
    <w:div w:id="2133285453">
      <w:bodyDiv w:val="1"/>
      <w:marLeft w:val="0"/>
      <w:marRight w:val="0"/>
      <w:marTop w:val="0"/>
      <w:marBottom w:val="0"/>
      <w:divBdr>
        <w:top w:val="none" w:sz="0" w:space="0" w:color="auto"/>
        <w:left w:val="none" w:sz="0" w:space="0" w:color="auto"/>
        <w:bottom w:val="none" w:sz="0" w:space="0" w:color="auto"/>
        <w:right w:val="none" w:sz="0" w:space="0" w:color="auto"/>
      </w:divBdr>
      <w:divsChild>
        <w:div w:id="678848663">
          <w:marLeft w:val="0"/>
          <w:marRight w:val="0"/>
          <w:marTop w:val="0"/>
          <w:marBottom w:val="0"/>
          <w:divBdr>
            <w:top w:val="none" w:sz="0" w:space="0" w:color="auto"/>
            <w:left w:val="none" w:sz="0" w:space="0" w:color="auto"/>
            <w:bottom w:val="none" w:sz="0" w:space="0" w:color="auto"/>
            <w:right w:val="none" w:sz="0" w:space="0" w:color="auto"/>
          </w:divBdr>
        </w:div>
      </w:divsChild>
    </w:div>
    <w:div w:id="2136292669">
      <w:bodyDiv w:val="1"/>
      <w:marLeft w:val="0"/>
      <w:marRight w:val="0"/>
      <w:marTop w:val="0"/>
      <w:marBottom w:val="0"/>
      <w:divBdr>
        <w:top w:val="none" w:sz="0" w:space="0" w:color="auto"/>
        <w:left w:val="none" w:sz="0" w:space="0" w:color="auto"/>
        <w:bottom w:val="none" w:sz="0" w:space="0" w:color="auto"/>
        <w:right w:val="none" w:sz="0" w:space="0" w:color="auto"/>
      </w:divBdr>
      <w:divsChild>
        <w:div w:id="780345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enco-building.com/products/axial-flow-fans/axial-flow-fans-novax-acn-acw/" TargetMode="External"/><Relationship Id="rId13" Type="http://schemas.openxmlformats.org/officeDocument/2006/relationships/hyperlink" Target="http://www.novenco-building.com/products/centrifugal-fans/centrifugal-fans-cnd-cnf/" TargetMode="External"/><Relationship Id="rId3" Type="http://schemas.openxmlformats.org/officeDocument/2006/relationships/settings" Target="settings.xml"/><Relationship Id="rId7" Type="http://schemas.openxmlformats.org/officeDocument/2006/relationships/hyperlink" Target="http://www.novenco-building.com/support/software/" TargetMode="External"/><Relationship Id="rId12" Type="http://schemas.openxmlformats.org/officeDocument/2006/relationships/hyperlink" Target="http://www.novenco-building.com/support/softw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venco-building.com/products/axial-flow-fans/axial-flow-fans-zerax-azw/" TargetMode="External"/><Relationship Id="rId11" Type="http://schemas.openxmlformats.org/officeDocument/2006/relationships/hyperlink" Target="http://www.novenco-building.com/products/centrifugal-fans/centrifugal-fans-cal/" TargetMode="External"/><Relationship Id="rId5" Type="http://schemas.openxmlformats.org/officeDocument/2006/relationships/hyperlink" Target="http://www.novenco-building.com/products/axial-flow-fans/axial-flow-fans-zerax-azn/" TargetMode="External"/><Relationship Id="rId15" Type="http://schemas.openxmlformats.org/officeDocument/2006/relationships/theme" Target="theme/theme1.xml"/><Relationship Id="rId10" Type="http://schemas.openxmlformats.org/officeDocument/2006/relationships/hyperlink" Target="http://www.novenco-building.com/support/software/" TargetMode="External"/><Relationship Id="rId4" Type="http://schemas.openxmlformats.org/officeDocument/2006/relationships/webSettings" Target="webSettings.xml"/><Relationship Id="rId9" Type="http://schemas.openxmlformats.org/officeDocument/2006/relationships/hyperlink" Target="http://www.novenco-building.com/products/axial-flow-fans/axial-flow-fans-novax-acn-standard-rang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dc:creator>
  <cp:keywords/>
  <dc:description/>
  <cp:lastModifiedBy>reza</cp:lastModifiedBy>
  <cp:revision>2</cp:revision>
  <dcterms:created xsi:type="dcterms:W3CDTF">2017-02-15T16:03:00Z</dcterms:created>
  <dcterms:modified xsi:type="dcterms:W3CDTF">2017-02-15T16:07:00Z</dcterms:modified>
</cp:coreProperties>
</file>